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4C1E4" w14:textId="77777777" w:rsidR="000F265F" w:rsidRDefault="000F265F" w:rsidP="000F265F">
      <w:pPr>
        <w:pStyle w:val="Tekstpodstawowy2"/>
        <w:spacing w:before="120" w:after="120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2DB04AEB" w14:textId="1A8C339D" w:rsidR="000F265F" w:rsidRPr="00581B12" w:rsidRDefault="000F265F" w:rsidP="00725F6D">
      <w:pPr>
        <w:pStyle w:val="Tekstpodstawowy2"/>
        <w:spacing w:before="120" w:after="120" w:line="276" w:lineRule="auto"/>
        <w:jc w:val="left"/>
        <w:rPr>
          <w:rFonts w:ascii="Open Sans" w:hAnsi="Open Sans" w:cs="Open Sans"/>
          <w:b/>
          <w:bCs/>
          <w:sz w:val="22"/>
          <w:szCs w:val="22"/>
        </w:rPr>
      </w:pPr>
      <w:r w:rsidRPr="00581B12">
        <w:rPr>
          <w:rFonts w:ascii="Open Sans" w:hAnsi="Open Sans" w:cs="Open Sans"/>
          <w:b/>
          <w:bCs/>
          <w:sz w:val="22"/>
          <w:szCs w:val="22"/>
        </w:rPr>
        <w:t>Waloryzacja dofinansowania stanowiącego pomoc publiczną</w:t>
      </w:r>
    </w:p>
    <w:p w14:paraId="5F36EFE9" w14:textId="77777777" w:rsidR="000F265F" w:rsidRPr="00581B12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>Instytucja Wdrażająca/</w:t>
      </w:r>
      <w:r w:rsidRPr="00A16000">
        <w:rPr>
          <w:rFonts w:ascii="Open Sans" w:hAnsi="Open Sans" w:cs="Open Sans"/>
        </w:rPr>
        <w:t>Instytucja Pośrednicząca</w:t>
      </w:r>
      <w:r w:rsidRPr="00581B12">
        <w:rPr>
          <w:rFonts w:ascii="Open Sans" w:hAnsi="Open Sans" w:cs="Open Sans"/>
        </w:rPr>
        <w:t>, pod warunkiem dostępności środków, może zwiększyć kwotę dofinansowania Projektu, jeżeli wynika to z nieprzewidywalnego na etapie opracowania wniosku o dofinansowanie wzrostu wartości wydatków kwalifikowalnych Projektu, któremu przy zachowaniu należytej staranności nie można było zapobiec.</w:t>
      </w:r>
    </w:p>
    <w:p w14:paraId="599EB5FA" w14:textId="708FD655" w:rsidR="000F265F" w:rsidRPr="00581B12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 xml:space="preserve">Przez nieprzewidywalny wzrost wartości wydatków kwalifikowalnych Projektu, o którym mowa w ust. 1, należy rozumieć wzrost kosztów realizacji Projektu powiązany ze wzrostem wartości wskaźnika cen towarów i usług konsumpcyjnych </w:t>
      </w:r>
      <w:r w:rsidRPr="000F265F">
        <w:rPr>
          <w:rFonts w:ascii="Open Sans" w:hAnsi="Open Sans" w:cs="Open Sans"/>
          <w:strike/>
        </w:rPr>
        <w:t>/…………………………….</w:t>
      </w:r>
      <w:r w:rsidRPr="000F265F">
        <w:rPr>
          <w:rStyle w:val="Odwoanieprzypisudolnego"/>
          <w:rFonts w:ascii="Open Sans" w:hAnsi="Open Sans" w:cs="Open Sans"/>
          <w:strike/>
        </w:rPr>
        <w:footnoteReference w:id="1"/>
      </w:r>
      <w:r w:rsidRPr="00581B12">
        <w:rPr>
          <w:rFonts w:ascii="Open Sans" w:hAnsi="Open Sans" w:cs="Open Sans"/>
        </w:rPr>
        <w:t xml:space="preserve"> </w:t>
      </w:r>
      <w:r w:rsidRPr="00A16000">
        <w:rPr>
          <w:rFonts w:ascii="Open Sans" w:hAnsi="Open Sans" w:cs="Open Sans"/>
          <w:b/>
          <w:bCs/>
        </w:rPr>
        <w:t>o więcej</w:t>
      </w:r>
      <w:r w:rsidRPr="00581B12">
        <w:rPr>
          <w:rFonts w:ascii="Open Sans" w:hAnsi="Open Sans" w:cs="Open Sans"/>
        </w:rPr>
        <w:t xml:space="preserve"> </w:t>
      </w:r>
      <w:r w:rsidR="00A16000" w:rsidRPr="00A16000">
        <w:rPr>
          <w:rFonts w:ascii="Open Sans" w:hAnsi="Open Sans" w:cs="Open Sans"/>
          <w:b/>
          <w:bCs/>
        </w:rPr>
        <w:t>niż 10</w:t>
      </w:r>
      <w:r w:rsidR="00A16000">
        <w:rPr>
          <w:rFonts w:ascii="Open Sans" w:hAnsi="Open Sans" w:cs="Open Sans"/>
        </w:rPr>
        <w:t xml:space="preserve"> </w:t>
      </w:r>
      <w:r w:rsidRPr="00A16000">
        <w:rPr>
          <w:rFonts w:ascii="Open Sans" w:hAnsi="Open Sans" w:cs="Open Sans"/>
          <w:b/>
          <w:bCs/>
        </w:rPr>
        <w:t>punktów procentowych</w:t>
      </w:r>
      <w:r w:rsidRPr="00581B12">
        <w:rPr>
          <w:rStyle w:val="Odwoanieprzypisudolnego"/>
          <w:rFonts w:ascii="Open Sans" w:hAnsi="Open Sans" w:cs="Open Sans"/>
        </w:rPr>
        <w:footnoteReference w:id="2"/>
      </w:r>
      <w:r w:rsidRPr="00581B12">
        <w:rPr>
          <w:rFonts w:ascii="Open Sans" w:hAnsi="Open Sans" w:cs="Open Sans"/>
        </w:rPr>
        <w:t xml:space="preserve"> niż prognozowany średnioroczny wskaźnik cen towarów i usług konsumpcyjnych </w:t>
      </w:r>
      <w:r w:rsidRPr="000F265F">
        <w:rPr>
          <w:rFonts w:ascii="Open Sans" w:hAnsi="Open Sans" w:cs="Open Sans"/>
          <w:strike/>
        </w:rPr>
        <w:t>/ ………………………………..</w:t>
      </w:r>
      <w:r w:rsidRPr="000F265F">
        <w:rPr>
          <w:rStyle w:val="Odwoanieprzypisudolnego"/>
          <w:rFonts w:ascii="Open Sans" w:hAnsi="Open Sans" w:cs="Open Sans"/>
          <w:strike/>
        </w:rPr>
        <w:footnoteReference w:id="3"/>
      </w:r>
    </w:p>
    <w:p w14:paraId="38B82D15" w14:textId="77777777" w:rsidR="000F265F" w:rsidRPr="00581B12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>Odpowiednich obliczeń dokonuje się na podstawie danych o wybranym w chwili składania wniosku o zwiększenie kwoty dofinansowania Projektu, prognozowanym średniorocznym wskaźniku cen towarów i usług konsumpcyjnych</w:t>
      </w:r>
      <w:r w:rsidRPr="000F265F">
        <w:rPr>
          <w:rFonts w:ascii="Open Sans" w:hAnsi="Open Sans" w:cs="Open Sans"/>
          <w:strike/>
        </w:rPr>
        <w:t xml:space="preserve"> / ……………………</w:t>
      </w:r>
      <w:r w:rsidRPr="000F265F">
        <w:rPr>
          <w:rStyle w:val="Odwoanieprzypisudolnego"/>
          <w:rFonts w:ascii="Open Sans" w:hAnsi="Open Sans" w:cs="Open Sans"/>
          <w:strike/>
        </w:rPr>
        <w:footnoteReference w:id="4"/>
      </w:r>
      <w:r w:rsidRPr="000F265F">
        <w:rPr>
          <w:rFonts w:ascii="Open Sans" w:hAnsi="Open Sans" w:cs="Open Sans"/>
          <w:strike/>
        </w:rPr>
        <w:t xml:space="preserve"> publikowanym przez …………………………..</w:t>
      </w:r>
      <w:r w:rsidRPr="000F265F">
        <w:rPr>
          <w:rStyle w:val="Odwoanieprzypisudolnego"/>
          <w:rFonts w:ascii="Open Sans" w:hAnsi="Open Sans" w:cs="Open Sans"/>
          <w:strike/>
        </w:rPr>
        <w:footnoteReference w:id="5"/>
      </w:r>
      <w:r w:rsidRPr="000F265F">
        <w:rPr>
          <w:rFonts w:ascii="Open Sans" w:hAnsi="Open Sans" w:cs="Open Sans"/>
          <w:strike/>
        </w:rPr>
        <w:t>.</w:t>
      </w:r>
    </w:p>
    <w:p w14:paraId="0CA662BD" w14:textId="77777777" w:rsidR="000F265F" w:rsidRPr="00581B12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>Zwiększenie kwoty dofinansowania, o której mowa w ust. 1, jest dopuszczalne, jeżeli bez jej podwyższenia Projekt:</w:t>
      </w:r>
    </w:p>
    <w:p w14:paraId="6626938C" w14:textId="77777777" w:rsidR="000F265F" w:rsidRPr="00581B12" w:rsidRDefault="000F265F" w:rsidP="00725F6D">
      <w:pPr>
        <w:pStyle w:val="Akapitzlist"/>
        <w:numPr>
          <w:ilvl w:val="0"/>
          <w:numId w:val="2"/>
        </w:numPr>
        <w:spacing w:before="60" w:after="120" w:line="276" w:lineRule="auto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>nie może zostać zrealizowany, albo</w:t>
      </w:r>
    </w:p>
    <w:p w14:paraId="70F7461C" w14:textId="77777777" w:rsidR="000F265F" w:rsidRPr="00581B12" w:rsidRDefault="000F265F" w:rsidP="00725F6D">
      <w:pPr>
        <w:pStyle w:val="Akapitzlist"/>
        <w:numPr>
          <w:ilvl w:val="0"/>
          <w:numId w:val="2"/>
        </w:numPr>
        <w:spacing w:before="60" w:after="120" w:line="276" w:lineRule="auto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 xml:space="preserve">nie może zostać zrealizowany w takim samym zakresie lub na takich samych warunkach, jak było to początkowo planowane we wniosku o dofinansowanie. </w:t>
      </w:r>
    </w:p>
    <w:p w14:paraId="5949A1B9" w14:textId="77777777" w:rsidR="000F265F" w:rsidRPr="00581B12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 xml:space="preserve">Beneficjent jest zobowiązany wykazać przyczyny i poziom nieprzewidywalnego wzrostu kosztów realizacji Projektu we wniosku o zwiększenie kwoty dofinansowania </w:t>
      </w:r>
      <w:r w:rsidRPr="00581B12">
        <w:rPr>
          <w:rFonts w:ascii="Open Sans" w:hAnsi="Open Sans" w:cs="Open Sans"/>
        </w:rPr>
        <w:lastRenderedPageBreak/>
        <w:t>Projektu, z zastosowaniem wskaźnika wzrostu kosztów cen towarów i usług konsumpcyjnych</w:t>
      </w:r>
      <w:r w:rsidRPr="000F265F">
        <w:rPr>
          <w:rFonts w:ascii="Open Sans" w:hAnsi="Open Sans" w:cs="Open Sans"/>
          <w:strike/>
        </w:rPr>
        <w:t>/………………………</w:t>
      </w:r>
      <w:r w:rsidRPr="000F265F">
        <w:rPr>
          <w:rStyle w:val="Odwoanieprzypisudolnego"/>
          <w:rFonts w:ascii="Open Sans" w:hAnsi="Open Sans" w:cs="Open Sans"/>
          <w:strike/>
        </w:rPr>
        <w:footnoteReference w:id="6"/>
      </w:r>
      <w:r w:rsidRPr="00581B12">
        <w:rPr>
          <w:rFonts w:ascii="Open Sans" w:hAnsi="Open Sans" w:cs="Open Sans"/>
        </w:rPr>
        <w:t>, o którym mowa w ust. 2 i 3. We wniosku tym Beneficjent jest zobowiązany wykazać wysoce prawdopodobne i spodziewane zaistnienie skutku braku zwiększenia kwoty dofinansowania określonego w ust. 4.</w:t>
      </w:r>
    </w:p>
    <w:p w14:paraId="78CE124A" w14:textId="77777777" w:rsidR="000F265F" w:rsidRPr="00581B12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>Zwiększenie kwoty dofinansowania nie może prowadzić do zmiany zakresu przedmiotowego, charakteru ani celów Projektu. Intensywność pomocy nie może zostać zwiększona.</w:t>
      </w:r>
    </w:p>
    <w:p w14:paraId="14A0AA28" w14:textId="1E2DA344" w:rsidR="000F265F" w:rsidRPr="00581B12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 xml:space="preserve">Kwota dofinansowania wskazana w § 6 ust.1 nie może zostać zwiększona </w:t>
      </w:r>
      <w:r w:rsidRPr="00A16000">
        <w:rPr>
          <w:rFonts w:ascii="Open Sans" w:hAnsi="Open Sans" w:cs="Open Sans"/>
          <w:b/>
          <w:bCs/>
        </w:rPr>
        <w:t>o więcej niż 25%</w:t>
      </w:r>
      <w:r w:rsidRPr="00581B12">
        <w:rPr>
          <w:rStyle w:val="Odwoanieprzypisudolnego"/>
          <w:rFonts w:ascii="Open Sans" w:hAnsi="Open Sans" w:cs="Open Sans"/>
        </w:rPr>
        <w:footnoteReference w:id="7"/>
      </w:r>
      <w:r w:rsidRPr="00581B12">
        <w:rPr>
          <w:rFonts w:ascii="Open Sans" w:hAnsi="Open Sans" w:cs="Open Sans"/>
        </w:rPr>
        <w:t>. Stopa dofinansowania pozostaje bez zmian. Całkowita kwota pomocy nie może przekraczać …</w:t>
      </w:r>
      <w:r w:rsidRPr="00581B12">
        <w:rPr>
          <w:rStyle w:val="Odwoanieprzypisudolnego"/>
          <w:rFonts w:ascii="Open Sans" w:hAnsi="Open Sans" w:cs="Open Sans"/>
        </w:rPr>
        <w:footnoteReference w:id="8"/>
      </w:r>
      <w:r w:rsidRPr="00581B12">
        <w:rPr>
          <w:rFonts w:ascii="Open Sans" w:hAnsi="Open Sans" w:cs="Open Sans"/>
        </w:rPr>
        <w:t xml:space="preserve"> .</w:t>
      </w:r>
    </w:p>
    <w:p w14:paraId="72AC6B03" w14:textId="77777777" w:rsidR="000F265F" w:rsidRPr="00581B12" w:rsidRDefault="000F265F" w:rsidP="00725F6D">
      <w:pPr>
        <w:pStyle w:val="Akapitzlist"/>
        <w:numPr>
          <w:ilvl w:val="0"/>
          <w:numId w:val="1"/>
        </w:numPr>
        <w:spacing w:before="60" w:after="120" w:line="276" w:lineRule="auto"/>
        <w:ind w:left="425" w:hanging="425"/>
        <w:rPr>
          <w:rFonts w:ascii="Open Sans" w:hAnsi="Open Sans" w:cs="Open Sans"/>
        </w:rPr>
      </w:pPr>
      <w:r w:rsidRPr="00581B12">
        <w:rPr>
          <w:rFonts w:ascii="Open Sans" w:hAnsi="Open Sans" w:cs="Open Sans"/>
        </w:rPr>
        <w:t xml:space="preserve">Zmiana Umowy poprzez uwzględnienie nieprzewidywalnego wzrostu kosztów realizacji Projektu wymaga dla swojej skuteczności złożenia przez obie Strony zgodnych oświadczeń woli w formie aneksu. </w:t>
      </w:r>
    </w:p>
    <w:p w14:paraId="67AE8389" w14:textId="77777777" w:rsidR="00BA4DDB" w:rsidRDefault="00BA4DDB" w:rsidP="00725F6D">
      <w:pPr>
        <w:spacing w:line="276" w:lineRule="auto"/>
      </w:pPr>
    </w:p>
    <w:sectPr w:rsidR="00BA4DD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C73E5" w14:textId="77777777" w:rsidR="000F265F" w:rsidRDefault="000F265F" w:rsidP="000F265F">
      <w:pPr>
        <w:spacing w:after="0" w:line="240" w:lineRule="auto"/>
      </w:pPr>
      <w:r>
        <w:separator/>
      </w:r>
    </w:p>
  </w:endnote>
  <w:endnote w:type="continuationSeparator" w:id="0">
    <w:p w14:paraId="3B43A8D2" w14:textId="77777777" w:rsidR="000F265F" w:rsidRDefault="000F265F" w:rsidP="000F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363F0" w14:textId="77777777" w:rsidR="000F265F" w:rsidRDefault="000F265F" w:rsidP="000F265F">
      <w:pPr>
        <w:spacing w:after="0" w:line="240" w:lineRule="auto"/>
      </w:pPr>
      <w:r>
        <w:separator/>
      </w:r>
    </w:p>
  </w:footnote>
  <w:footnote w:type="continuationSeparator" w:id="0">
    <w:p w14:paraId="11273F51" w14:textId="77777777" w:rsidR="000F265F" w:rsidRDefault="000F265F" w:rsidP="000F265F">
      <w:pPr>
        <w:spacing w:after="0" w:line="240" w:lineRule="auto"/>
      </w:pPr>
      <w:r>
        <w:continuationSeparator/>
      </w:r>
    </w:p>
  </w:footnote>
  <w:footnote w:id="1">
    <w:p w14:paraId="5B9251EB" w14:textId="77777777" w:rsidR="000F265F" w:rsidRPr="00725F6D" w:rsidRDefault="000F265F" w:rsidP="00725F6D">
      <w:pPr>
        <w:pStyle w:val="Tekstprzypisudolnego"/>
        <w:spacing w:line="276" w:lineRule="auto"/>
        <w:rPr>
          <w:rFonts w:ascii="Open Sans" w:hAnsi="Open Sans" w:cs="Open Sans"/>
          <w:color w:val="000000" w:themeColor="text1"/>
          <w:sz w:val="16"/>
          <w:szCs w:val="16"/>
        </w:rPr>
      </w:pPr>
      <w:r w:rsidRPr="00725F6D">
        <w:rPr>
          <w:rStyle w:val="Odwoanieprzypisudolnego"/>
          <w:rFonts w:ascii="Open Sans" w:hAnsi="Open Sans" w:cs="Open Sans"/>
          <w:color w:val="000000" w:themeColor="text1"/>
          <w:sz w:val="16"/>
          <w:szCs w:val="16"/>
        </w:rPr>
        <w:footnoteRef/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 xml:space="preserve"> Można skorzystać z innego wskaźnika, niż</w:t>
      </w:r>
      <w:r w:rsidRPr="00725F6D">
        <w:rPr>
          <w:rFonts w:ascii="Open Sans" w:hAnsi="Open Sans" w:cs="Open Sans"/>
          <w:strike/>
          <w:color w:val="000000" w:themeColor="text1"/>
          <w:sz w:val="16"/>
          <w:szCs w:val="16"/>
        </w:rPr>
        <w:t xml:space="preserve"> </w:t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>wskaźnik cen towarów i usług konsumpcyjnych, jednak tylko wówczas, gdy jest on równie obiektywny, jak</w:t>
      </w:r>
      <w:r w:rsidRPr="00725F6D">
        <w:rPr>
          <w:rFonts w:ascii="Open Sans" w:hAnsi="Open Sans" w:cs="Open Sans"/>
          <w:strike/>
          <w:color w:val="000000" w:themeColor="text1"/>
          <w:sz w:val="16"/>
          <w:szCs w:val="16"/>
        </w:rPr>
        <w:t xml:space="preserve"> </w:t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>wskaźnik cen towarów i usług konsumpcyjnych. Zaleca się, żeby dla danego naboru został określony jeden wskaźnik dla wszystkich beneficjentów. Niepotrzebne należy wykreślić. Należy pozostawić wybrany wskaźnik.</w:t>
      </w:r>
    </w:p>
  </w:footnote>
  <w:footnote w:id="2">
    <w:p w14:paraId="175D79B8" w14:textId="77777777" w:rsidR="000F265F" w:rsidRPr="00725F6D" w:rsidRDefault="000F265F" w:rsidP="00725F6D">
      <w:pPr>
        <w:pStyle w:val="Tekstprzypisudolnego"/>
        <w:spacing w:line="276" w:lineRule="auto"/>
        <w:rPr>
          <w:rFonts w:ascii="Open Sans" w:hAnsi="Open Sans" w:cs="Open Sans"/>
          <w:color w:val="000000" w:themeColor="text1"/>
          <w:sz w:val="16"/>
          <w:szCs w:val="16"/>
        </w:rPr>
      </w:pPr>
      <w:r w:rsidRPr="00725F6D">
        <w:rPr>
          <w:rStyle w:val="Odwoanieprzypisudolnego"/>
          <w:rFonts w:ascii="Open Sans" w:hAnsi="Open Sans" w:cs="Open Sans"/>
          <w:color w:val="000000" w:themeColor="text1"/>
          <w:sz w:val="16"/>
          <w:szCs w:val="16"/>
        </w:rPr>
        <w:footnoteRef/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 xml:space="preserve"> Liczba punktów procentowych jest ustalona przez instytucję przeprowadzającą nabór wniosków i uwzględniona w treści klauzuli dotyczącej waloryzacji dofinansowania zawartej w odpowiednich dokumentach związanych ze spełnieniem efektu zachęty, w szczególności we wniosku o dofinansowanie.</w:t>
      </w:r>
    </w:p>
  </w:footnote>
  <w:footnote w:id="3">
    <w:p w14:paraId="7813370C" w14:textId="77777777" w:rsidR="000F265F" w:rsidRPr="00725F6D" w:rsidRDefault="000F265F" w:rsidP="00725F6D">
      <w:pPr>
        <w:pStyle w:val="Tekstprzypisudolnego"/>
        <w:spacing w:line="276" w:lineRule="auto"/>
        <w:rPr>
          <w:rFonts w:ascii="Open Sans" w:hAnsi="Open Sans" w:cs="Open Sans"/>
          <w:color w:val="000000" w:themeColor="text1"/>
          <w:sz w:val="16"/>
          <w:szCs w:val="16"/>
        </w:rPr>
      </w:pPr>
      <w:r w:rsidRPr="00725F6D">
        <w:rPr>
          <w:rStyle w:val="Odwoanieprzypisudolnego"/>
          <w:rFonts w:ascii="Open Sans" w:hAnsi="Open Sans" w:cs="Open Sans"/>
          <w:color w:val="000000" w:themeColor="text1"/>
          <w:sz w:val="16"/>
          <w:szCs w:val="16"/>
        </w:rPr>
        <w:footnoteRef/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 xml:space="preserve"> Można skorzystać z innego wskaźnika, niż średnioroczny wskaźnik cen towarów i usług konsumpcyjnych, jednak tylko wówczas, gdy jest on równie obiektywny, jak średnioroczny wskaźnik cen towarów i usług konsumpcyjnych. Zaleca się, żeby dla danego naboru został określony jeden wskaźnik dla wszystkich beneficjentów. Niepotrzebne należy wykreślić. Należy pozostawić wybrany wskaźnik.</w:t>
      </w:r>
    </w:p>
  </w:footnote>
  <w:footnote w:id="4">
    <w:p w14:paraId="1433B1D6" w14:textId="77777777" w:rsidR="000F265F" w:rsidRPr="00725F6D" w:rsidRDefault="000F265F" w:rsidP="00725F6D">
      <w:pPr>
        <w:pStyle w:val="Tekstprzypisudolnego"/>
        <w:spacing w:line="276" w:lineRule="auto"/>
        <w:rPr>
          <w:rFonts w:ascii="Open Sans" w:hAnsi="Open Sans" w:cs="Open Sans"/>
          <w:color w:val="000000" w:themeColor="text1"/>
          <w:sz w:val="16"/>
          <w:szCs w:val="16"/>
        </w:rPr>
      </w:pPr>
      <w:r w:rsidRPr="00725F6D">
        <w:rPr>
          <w:rStyle w:val="Odwoanieprzypisudolnego"/>
          <w:rFonts w:ascii="Open Sans" w:hAnsi="Open Sans" w:cs="Open Sans"/>
          <w:color w:val="000000" w:themeColor="text1"/>
          <w:sz w:val="16"/>
          <w:szCs w:val="16"/>
        </w:rPr>
        <w:footnoteRef/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 xml:space="preserve"> Niepotrzebne należy wykreślić . Należy pozostawić wybrany wskaźnik.</w:t>
      </w:r>
    </w:p>
  </w:footnote>
  <w:footnote w:id="5">
    <w:p w14:paraId="1E3A1691" w14:textId="77777777" w:rsidR="000F265F" w:rsidRPr="00A55C51" w:rsidRDefault="000F265F" w:rsidP="00725F6D">
      <w:pPr>
        <w:pStyle w:val="Tekstprzypisudolnego"/>
        <w:spacing w:line="276" w:lineRule="auto"/>
        <w:rPr>
          <w:rFonts w:ascii="Open Sans" w:hAnsi="Open Sans" w:cs="Open Sans"/>
          <w:color w:val="000000" w:themeColor="text1"/>
        </w:rPr>
      </w:pPr>
      <w:r w:rsidRPr="00725F6D">
        <w:rPr>
          <w:rStyle w:val="Odwoanieprzypisudolnego"/>
          <w:rFonts w:ascii="Open Sans" w:hAnsi="Open Sans" w:cs="Open Sans"/>
          <w:color w:val="000000" w:themeColor="text1"/>
          <w:sz w:val="16"/>
          <w:szCs w:val="16"/>
        </w:rPr>
        <w:footnoteRef/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 xml:space="preserve"> Wybór właściwej niezależnej instytucji publikującej dane np. Narodowego Banku Polskiego, Ministerstwa Finansów, Komisji Europejskiej czy OECD należy do Instytucji Wdrażającej/Instytucji Pośredniczącej. Odpowiednio dotyczy to innych wskaźników, jeśli mają one zastosowanie.</w:t>
      </w:r>
    </w:p>
  </w:footnote>
  <w:footnote w:id="6">
    <w:p w14:paraId="35807884" w14:textId="77777777" w:rsidR="000F265F" w:rsidRPr="00725F6D" w:rsidRDefault="000F265F" w:rsidP="00725F6D">
      <w:pPr>
        <w:pStyle w:val="Tekstprzypisudolnego"/>
        <w:rPr>
          <w:rFonts w:ascii="Open Sans" w:hAnsi="Open Sans" w:cs="Open Sans"/>
          <w:color w:val="000000" w:themeColor="text1"/>
          <w:sz w:val="16"/>
          <w:szCs w:val="16"/>
        </w:rPr>
      </w:pPr>
      <w:r w:rsidRPr="00725F6D">
        <w:rPr>
          <w:rStyle w:val="Odwoanieprzypisudolnego"/>
          <w:rFonts w:ascii="Open Sans" w:hAnsi="Open Sans" w:cs="Open Sans"/>
          <w:color w:val="000000" w:themeColor="text1"/>
          <w:sz w:val="16"/>
          <w:szCs w:val="16"/>
        </w:rPr>
        <w:footnoteRef/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 xml:space="preserve"> Niepotrzebne należy wykreślić . Należy pozostawić wybrany wskaźnik.</w:t>
      </w:r>
    </w:p>
  </w:footnote>
  <w:footnote w:id="7">
    <w:p w14:paraId="1C9C3081" w14:textId="77777777" w:rsidR="000F265F" w:rsidRPr="00725F6D" w:rsidRDefault="000F265F" w:rsidP="00725F6D">
      <w:pPr>
        <w:pStyle w:val="Tekstprzypisudolnego"/>
        <w:rPr>
          <w:rFonts w:ascii="Open Sans" w:hAnsi="Open Sans" w:cs="Open Sans"/>
          <w:color w:val="000000" w:themeColor="text1"/>
          <w:sz w:val="16"/>
          <w:szCs w:val="16"/>
        </w:rPr>
      </w:pPr>
      <w:r w:rsidRPr="00725F6D">
        <w:rPr>
          <w:rStyle w:val="Odwoanieprzypisudolnego"/>
          <w:rFonts w:ascii="Open Sans" w:hAnsi="Open Sans" w:cs="Open Sans"/>
          <w:color w:val="000000" w:themeColor="text1"/>
          <w:sz w:val="16"/>
          <w:szCs w:val="16"/>
        </w:rPr>
        <w:footnoteRef/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 xml:space="preserve"> Wielkość ta jest ustalona przez instytucję przeprowadzającą nabór wniosków i uwzględniona w treści klauzuli dotyczącej waloryzacji dofinansowania zawartej w odpowiednich dokumentach związanych ze spełnieniem efektu zachęty, w szczególności we wniosku o dofinansowanie.</w:t>
      </w:r>
    </w:p>
  </w:footnote>
  <w:footnote w:id="8">
    <w:p w14:paraId="2EFD8275" w14:textId="77777777" w:rsidR="000F265F" w:rsidRPr="00A55C51" w:rsidRDefault="000F265F" w:rsidP="00725F6D">
      <w:pPr>
        <w:pStyle w:val="Tekstprzypisudolnego"/>
        <w:rPr>
          <w:rFonts w:ascii="Open Sans" w:hAnsi="Open Sans" w:cs="Open Sans"/>
          <w:color w:val="000000" w:themeColor="text1"/>
        </w:rPr>
      </w:pPr>
      <w:r w:rsidRPr="00725F6D">
        <w:rPr>
          <w:rStyle w:val="Odwoanieprzypisudolnego"/>
          <w:rFonts w:ascii="Open Sans" w:hAnsi="Open Sans" w:cs="Open Sans"/>
          <w:color w:val="000000" w:themeColor="text1"/>
          <w:sz w:val="16"/>
          <w:szCs w:val="16"/>
        </w:rPr>
        <w:footnoteRef/>
      </w:r>
      <w:r w:rsidRPr="00725F6D">
        <w:rPr>
          <w:rFonts w:ascii="Open Sans" w:hAnsi="Open Sans" w:cs="Open Sans"/>
          <w:color w:val="000000" w:themeColor="text1"/>
          <w:sz w:val="16"/>
          <w:szCs w:val="16"/>
        </w:rPr>
        <w:t xml:space="preserve"> Instytucja Wdrażająca/Instytucja Pośrednicząca wskazuje konkretną kwotę, powyżej której nie można zwiększyć kwoty dofinansowania, co służy spełnieniu warunku przewidzianego przez ogólne rozporządzenie w sprawie </w:t>
      </w:r>
      <w:proofErr w:type="spellStart"/>
      <w:r w:rsidRPr="00725F6D">
        <w:rPr>
          <w:rFonts w:ascii="Open Sans" w:hAnsi="Open Sans" w:cs="Open Sans"/>
          <w:color w:val="000000" w:themeColor="text1"/>
          <w:sz w:val="16"/>
          <w:szCs w:val="16"/>
        </w:rPr>
        <w:t>wyłączeń</w:t>
      </w:r>
      <w:proofErr w:type="spellEnd"/>
      <w:r w:rsidRPr="00725F6D">
        <w:rPr>
          <w:rFonts w:ascii="Open Sans" w:hAnsi="Open Sans" w:cs="Open Sans"/>
          <w:color w:val="000000" w:themeColor="text1"/>
          <w:sz w:val="16"/>
          <w:szCs w:val="16"/>
        </w:rPr>
        <w:t xml:space="preserve"> grupowych, zgodnie z którym wniosek o pomoc powinien określać całkowitą kwotę pomocy.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093C9" w14:textId="0707ACE6" w:rsidR="000F265F" w:rsidRDefault="00A16000" w:rsidP="00A16000">
    <w:pPr>
      <w:pStyle w:val="Nagwek"/>
    </w:pPr>
    <w:r>
      <w:rPr>
        <w:noProof/>
      </w:rPr>
      <w:drawing>
        <wp:inline distT="0" distB="0" distL="0" distR="0" wp14:anchorId="4C80A262" wp14:editId="7DE27798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E1DB3A" w14:textId="77777777" w:rsidR="00A16000" w:rsidRPr="00F21253" w:rsidRDefault="00A16000" w:rsidP="00A16000">
    <w:pPr>
      <w:pStyle w:val="Nagwek"/>
      <w:spacing w:after="120"/>
      <w:rPr>
        <w:rFonts w:ascii="Open Sans Light" w:hAnsi="Open Sans Light"/>
      </w:rPr>
    </w:pPr>
    <w:r w:rsidRPr="00F21253">
      <w:rPr>
        <w:rFonts w:ascii="Open Sans Light" w:hAnsi="Open Sans Light"/>
      </w:rPr>
      <w:t xml:space="preserve">Wniosek o dofinansowanie dla Programu Fundusze Europejskie na Infrastrukturę, Klimat, Środowisko 2021-2027 </w:t>
    </w:r>
  </w:p>
  <w:p w14:paraId="7E18082B" w14:textId="75469ECF" w:rsidR="00A16000" w:rsidRPr="00A16000" w:rsidRDefault="00A16000" w:rsidP="00A16000">
    <w:pPr>
      <w:pStyle w:val="Nagwek"/>
      <w:spacing w:after="120"/>
      <w:rPr>
        <w:rFonts w:ascii="Open Sans Light" w:hAnsi="Open Sans Light"/>
      </w:rPr>
    </w:pPr>
    <w:r>
      <w:rPr>
        <w:rFonts w:ascii="Open Sans Light" w:hAnsi="Open Sans Light"/>
      </w:rPr>
      <w:t>Załącznik 37</w:t>
    </w:r>
    <w:r w:rsidRPr="00F21253">
      <w:rPr>
        <w:rFonts w:ascii="Open Sans Light" w:hAnsi="Open Sans Light"/>
      </w:rPr>
      <w:t xml:space="preserve"> </w:t>
    </w:r>
    <w:r>
      <w:rPr>
        <w:rFonts w:ascii="Open Sans Light" w:hAnsi="Open Sans Light"/>
      </w:rPr>
      <w:t>–</w:t>
    </w:r>
    <w:r w:rsidRPr="00F21253">
      <w:rPr>
        <w:rFonts w:ascii="Open Sans Light" w:hAnsi="Open Sans Light"/>
      </w:rPr>
      <w:t xml:space="preserve"> </w:t>
    </w:r>
    <w:r>
      <w:rPr>
        <w:rFonts w:ascii="Open Sans Light" w:hAnsi="Open Sans Light" w:cs="Open Sans Light"/>
      </w:rPr>
      <w:t>Projekt klauzuli waloryzacyjnej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3A48F6"/>
    <w:multiLevelType w:val="hybridMultilevel"/>
    <w:tmpl w:val="E29284B2"/>
    <w:lvl w:ilvl="0" w:tplc="15DE2914">
      <w:start w:val="1"/>
      <w:numFmt w:val="decimal"/>
      <w:lvlText w:val="%1."/>
      <w:lvlJc w:val="left"/>
      <w:pPr>
        <w:ind w:left="1637" w:hanging="360"/>
      </w:pPr>
      <w:rPr>
        <w:rFonts w:ascii="Open Sans" w:eastAsia="Times New Roman" w:hAnsi="Open Sans" w:cs="Open Sans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731C4188"/>
    <w:multiLevelType w:val="hybridMultilevel"/>
    <w:tmpl w:val="8C004EA8"/>
    <w:lvl w:ilvl="0" w:tplc="38CA0D08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72515891">
    <w:abstractNumId w:val="0"/>
  </w:num>
  <w:num w:numId="2" w16cid:durableId="481042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5F"/>
    <w:rsid w:val="000F265F"/>
    <w:rsid w:val="000F771D"/>
    <w:rsid w:val="001C6888"/>
    <w:rsid w:val="001C76D2"/>
    <w:rsid w:val="00725F6D"/>
    <w:rsid w:val="00A16000"/>
    <w:rsid w:val="00A50004"/>
    <w:rsid w:val="00BA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CABC"/>
  <w15:chartTrackingRefBased/>
  <w15:docId w15:val="{B420CDAA-222C-40A8-9C1A-9FBAE05A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F2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2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65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2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265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2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2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2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2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65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26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65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265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265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2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2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2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2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2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F2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F2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2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F265F"/>
    <w:rPr>
      <w:i/>
      <w:iCs/>
      <w:color w:val="404040" w:themeColor="text1" w:themeTint="BF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F2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F265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265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265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265F"/>
    <w:rPr>
      <w:b/>
      <w:bCs/>
      <w:smallCaps/>
      <w:color w:val="2E74B5" w:themeColor="accent1" w:themeShade="BF"/>
      <w:spacing w:val="5"/>
    </w:rPr>
  </w:style>
  <w:style w:type="character" w:customStyle="1" w:styleId="TekstprzypisudolnegoZnak1">
    <w:name w:val="Tekst przypisu dolnego Znak1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locked/>
    <w:rsid w:val="000F265F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0F265F"/>
    <w:rPr>
      <w:rFonts w:cs="Times New Roman"/>
      <w:vertAlign w:val="superscript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0F265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F265F"/>
  </w:style>
  <w:style w:type="character" w:customStyle="1" w:styleId="Tekstpodstawowy2Znak1">
    <w:name w:val="Tekst podstawowy 2 Znak1"/>
    <w:aliases w:val="Tekst podstawowy 2 Znak Znak Znak"/>
    <w:basedOn w:val="Domylnaczcionkaakapitu"/>
    <w:link w:val="Tekstpodstawowy2"/>
    <w:uiPriority w:val="99"/>
    <w:locked/>
    <w:rsid w:val="000F265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n,Schriftart"/>
    <w:basedOn w:val="Normalny"/>
    <w:link w:val="TekstprzypisudolnegoZnak1"/>
    <w:uiPriority w:val="99"/>
    <w:qFormat/>
    <w:rsid w:val="000F265F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F265F"/>
    <w:rPr>
      <w:sz w:val="20"/>
      <w:szCs w:val="20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0F265F"/>
  </w:style>
  <w:style w:type="paragraph" w:styleId="Nagwek">
    <w:name w:val="header"/>
    <w:basedOn w:val="Normalny"/>
    <w:link w:val="NagwekZnak"/>
    <w:uiPriority w:val="99"/>
    <w:unhideWhenUsed/>
    <w:rsid w:val="000F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65F"/>
  </w:style>
  <w:style w:type="paragraph" w:styleId="Stopka">
    <w:name w:val="footer"/>
    <w:basedOn w:val="Normalny"/>
    <w:link w:val="StopkaZnak"/>
    <w:uiPriority w:val="99"/>
    <w:unhideWhenUsed/>
    <w:rsid w:val="000F2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65F"/>
  </w:style>
  <w:style w:type="character" w:styleId="Odwoaniedokomentarza">
    <w:name w:val="annotation reference"/>
    <w:basedOn w:val="Domylnaczcionkaakapitu"/>
    <w:uiPriority w:val="99"/>
    <w:semiHidden/>
    <w:unhideWhenUsed/>
    <w:rsid w:val="00A160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0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0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0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0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Mikuszewski Dawid</dc:creator>
  <cp:keywords/>
  <dc:description/>
  <cp:lastModifiedBy>Mikuszewski Dawid</cp:lastModifiedBy>
  <cp:revision>3</cp:revision>
  <dcterms:created xsi:type="dcterms:W3CDTF">2024-11-28T10:14:00Z</dcterms:created>
  <dcterms:modified xsi:type="dcterms:W3CDTF">2024-12-06T14:05:00Z</dcterms:modified>
</cp:coreProperties>
</file>